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outline w:val="0"/>
          <w:color w:val="64958f"/>
          <w:sz w:val="50"/>
          <w:szCs w:val="50"/>
          <w:u w:color="64958f"/>
          <w14:textFill>
            <w14:solidFill>
              <w14:srgbClr w14:val="64958F"/>
            </w14:solidFill>
          </w14:textFill>
        </w:rPr>
      </w:pPr>
      <w:r>
        <w:rPr>
          <w:rFonts w:ascii="Arial Unicode MS" w:hAnsi="Arial Unicode MS"/>
          <w:outline w:val="0"/>
          <w:color w:val="64958f"/>
          <w:sz w:val="50"/>
          <w:szCs w:val="50"/>
          <w:u w:color="64958f"/>
          <w:rtl w:val="0"/>
          <w:lang w:val="en-US"/>
          <w14:textFill>
            <w14:solidFill>
              <w14:srgbClr w14:val="64958F"/>
            </w14:solidFill>
          </w14:textFill>
        </w:rPr>
        <w:t>Moving Parts Arts CIO</w:t>
      </w:r>
      <w:r>
        <w:rPr>
          <w:outline w:val="0"/>
          <w:color w:val="64958f"/>
          <w:sz w:val="50"/>
          <w:szCs w:val="50"/>
          <w:u w:color="64958f"/>
          <w14:textFill>
            <w14:solidFill>
              <w14:srgbClr w14:val="64958F"/>
            </w14:solidFill>
          </w14:textFill>
        </w:rPr>
        <w:drawing xmlns:a="http://schemas.openxmlformats.org/drawingml/2006/main">
          <wp:anchor distT="152400" distB="152400" distL="152400" distR="152400" simplePos="0" relativeHeight="251659264" behindDoc="0" locked="0" layoutInCell="1" allowOverlap="1">
            <wp:simplePos x="0" y="0"/>
            <wp:positionH relativeFrom="page">
              <wp:posOffset>713740</wp:posOffset>
            </wp:positionH>
            <wp:positionV relativeFrom="line">
              <wp:posOffset>-152400</wp:posOffset>
            </wp:positionV>
            <wp:extent cx="1602840" cy="1602840"/>
            <wp:effectExtent l="0" t="0" r="0" b="0"/>
            <wp:wrapThrough wrapText="bothSides" distL="152400" distR="152400">
              <wp:wrapPolygon edited="1">
                <wp:start x="0" y="0"/>
                <wp:lineTo x="21600" y="0"/>
                <wp:lineTo x="21600" y="21600"/>
                <wp:lineTo x="0" y="21600"/>
                <wp:lineTo x="0" y="0"/>
              </wp:wrapPolygon>
            </wp:wrapThrough>
            <wp:docPr id="1073741825" name="officeArt object" descr="Moving Parts Arts Logo copy.png"/>
            <wp:cNvGraphicFramePr/>
            <a:graphic xmlns:a="http://schemas.openxmlformats.org/drawingml/2006/main">
              <a:graphicData uri="http://schemas.openxmlformats.org/drawingml/2006/picture">
                <pic:pic xmlns:pic="http://schemas.openxmlformats.org/drawingml/2006/picture">
                  <pic:nvPicPr>
                    <pic:cNvPr id="1073741825" name="Moving Parts Arts Logo copy.png" descr="Moving Parts Arts Logo copy.png"/>
                    <pic:cNvPicPr>
                      <a:picLocks noChangeAspect="1"/>
                    </pic:cNvPicPr>
                  </pic:nvPicPr>
                  <pic:blipFill>
                    <a:blip r:embed="rId4">
                      <a:extLst/>
                    </a:blip>
                    <a:stretch>
                      <a:fillRect/>
                    </a:stretch>
                  </pic:blipFill>
                  <pic:spPr>
                    <a:xfrm>
                      <a:off x="0" y="0"/>
                      <a:ext cx="1602840" cy="1602840"/>
                    </a:xfrm>
                    <a:prstGeom prst="rect">
                      <a:avLst/>
                    </a:prstGeom>
                    <a:ln w="12700" cap="flat">
                      <a:noFill/>
                      <a:miter lim="400000"/>
                    </a:ln>
                    <a:effectLst/>
                  </pic:spPr>
                </pic:pic>
              </a:graphicData>
            </a:graphic>
          </wp:anchor>
        </w:drawing>
      </w:r>
    </w:p>
    <w:p>
      <w:pPr>
        <w:pStyle w:val="Body A"/>
        <w:rPr>
          <w:outline w:val="0"/>
          <w:color w:val="64958f"/>
          <w:sz w:val="50"/>
          <w:szCs w:val="50"/>
          <w:u w:color="64958f"/>
          <w14:textFill>
            <w14:solidFill>
              <w14:srgbClr w14:val="64958F"/>
            </w14:solidFill>
          </w14:textFill>
        </w:rPr>
      </w:pPr>
      <w:r>
        <w:rPr>
          <w:rFonts w:ascii="Arial Unicode MS" w:hAnsi="Arial Unicode MS"/>
          <w:outline w:val="0"/>
          <w:color w:val="64958f"/>
          <w:sz w:val="50"/>
          <w:szCs w:val="50"/>
          <w:u w:color="64958f"/>
          <w:rtl w:val="0"/>
          <w:lang w:val="en-US"/>
          <w14:textFill>
            <w14:solidFill>
              <w14:srgbClr w14:val="64958F"/>
            </w14:solidFill>
          </w14:textFill>
        </w:rPr>
        <w:t>Adult Safeguarding Policy</w:t>
      </w:r>
    </w:p>
    <w:p>
      <w:pPr>
        <w:pStyle w:val="Body A"/>
        <w:rPr>
          <w:sz w:val="30"/>
          <w:szCs w:val="30"/>
        </w:rPr>
      </w:pPr>
      <w:r>
        <w:rPr>
          <w:rFonts w:ascii="Arial Unicode MS" w:hAnsi="Arial Unicode MS"/>
          <w:sz w:val="30"/>
          <w:szCs w:val="30"/>
          <w:rtl w:val="0"/>
          <w:lang w:val="en-US"/>
        </w:rPr>
        <w:t>Updated: 4th March 202</w:t>
      </w:r>
      <w:r>
        <w:rPr>
          <w:rFonts w:ascii="Arial Unicode MS" w:hAnsi="Arial Unicode MS"/>
          <w:sz w:val="30"/>
          <w:szCs w:val="30"/>
          <w:rtl w:val="0"/>
          <w:lang w:val="en-US"/>
        </w:rPr>
        <w:t>6</w:t>
      </w:r>
      <w:r>
        <w:rPr>
          <w:rFonts w:ascii="Arial Unicode MS" w:cs="Arial Unicode MS" w:hAnsi="Arial Unicode MS" w:eastAsia="Arial Unicode MS"/>
          <w:sz w:val="30"/>
          <w:szCs w:val="30"/>
        </w:rPr>
        <w:br w:type="textWrapping"/>
      </w:r>
      <w:r>
        <w:rPr>
          <w:rFonts w:ascii="Arial Unicode MS" w:hAnsi="Arial Unicode MS"/>
          <w:sz w:val="30"/>
          <w:szCs w:val="30"/>
          <w:rtl w:val="0"/>
          <w:lang w:val="en-US"/>
        </w:rPr>
        <w:t>Date for review: 4th March 202</w:t>
      </w:r>
      <w:r>
        <w:rPr>
          <w:rFonts w:ascii="Arial Unicode MS" w:hAnsi="Arial Unicode MS"/>
          <w:sz w:val="30"/>
          <w:szCs w:val="30"/>
          <w:rtl w:val="0"/>
          <w:lang w:val="en-US"/>
        </w:rPr>
        <w:t>7</w:t>
      </w:r>
    </w:p>
    <w:p>
      <w:pPr>
        <w:pStyle w:val="Body A"/>
        <w:rPr>
          <w:rStyle w:val="None A"/>
          <w:sz w:val="30"/>
          <w:szCs w:val="30"/>
        </w:rPr>
      </w:pPr>
    </w:p>
    <w:p>
      <w:pPr>
        <w:pStyle w:val="Body A"/>
        <w:rPr>
          <w:rStyle w:val="None A"/>
          <w:sz w:val="30"/>
          <w:szCs w:val="30"/>
        </w:rPr>
      </w:pPr>
    </w:p>
    <w:p>
      <w:pPr>
        <w:pStyle w:val="Body A"/>
        <w:rPr>
          <w:b w:val="1"/>
          <w:bCs w:val="1"/>
          <w:outline w:val="0"/>
          <w:color w:val="64958f"/>
          <w:sz w:val="28"/>
          <w:szCs w:val="28"/>
          <w:u w:color="64958f"/>
          <w14:textFill>
            <w14:solidFill>
              <w14:srgbClr w14:val="64958F"/>
            </w14:solidFill>
          </w14:textFill>
        </w:rPr>
      </w:pPr>
    </w:p>
    <w:p>
      <w:pPr>
        <w:pStyle w:val="Body A"/>
        <w:rPr>
          <w:b w:val="1"/>
          <w:bCs w:val="1"/>
          <w:outline w:val="0"/>
          <w:color w:val="64958f"/>
          <w:sz w:val="28"/>
          <w:szCs w:val="28"/>
          <w:u w:color="64958f"/>
          <w14:textFill>
            <w14:solidFill>
              <w14:srgbClr w14:val="64958F"/>
            </w14:solidFill>
          </w14:textFill>
        </w:rPr>
      </w:pPr>
    </w:p>
    <w:p>
      <w:pPr>
        <w:pStyle w:val="Body A"/>
        <w:rPr>
          <w:b w:val="1"/>
          <w:bCs w:val="1"/>
          <w:outline w:val="0"/>
          <w:color w:val="64958f"/>
          <w:sz w:val="28"/>
          <w:szCs w:val="28"/>
          <w:u w:color="64958f"/>
          <w14:textFill>
            <w14:solidFill>
              <w14:srgbClr w14:val="64958F"/>
            </w14:solidFill>
          </w14:textFill>
        </w:rPr>
      </w:pPr>
      <w:r>
        <w:rPr>
          <w:rFonts w:ascii="Arial Unicode MS" w:hAnsi="Arial Unicode MS"/>
          <w:outline w:val="0"/>
          <w:color w:val="64958f"/>
          <w:sz w:val="28"/>
          <w:szCs w:val="28"/>
          <w:u w:color="64958f"/>
          <w:rtl w:val="0"/>
          <w:lang w:val="en-US"/>
          <w14:textFill>
            <w14:solidFill>
              <w14:srgbClr w14:val="64958F"/>
            </w14:solidFill>
          </w14:textFill>
        </w:rPr>
        <w:t>COMPANY DETAILS</w:t>
      </w:r>
    </w:p>
    <w:p>
      <w:pPr>
        <w:pStyle w:val="Body A"/>
      </w:pPr>
      <w:r>
        <w:rPr>
          <w:rFonts w:ascii="Arial Unicode MS" w:hAnsi="Arial Unicode MS"/>
          <w:rtl w:val="0"/>
          <w:lang w:val="en-US"/>
        </w:rPr>
        <w:t>Name: Moving Parts Arts CIO</w:t>
      </w:r>
    </w:p>
    <w:p>
      <w:pPr>
        <w:pStyle w:val="Body A"/>
      </w:pPr>
      <w:r>
        <w:rPr>
          <w:rFonts w:ascii="Arial Unicode MS" w:hAnsi="Arial Unicode MS"/>
          <w:rtl w:val="0"/>
          <w:lang w:val="en-US"/>
        </w:rPr>
        <w:t>Registered address: 5a Westgate Hill Terrace, Newcastle upon Tyne, NE4 6AS</w:t>
      </w:r>
    </w:p>
    <w:p>
      <w:pPr>
        <w:pStyle w:val="Body A"/>
      </w:pPr>
      <w:r>
        <w:rPr>
          <w:rFonts w:ascii="Arial Unicode MS" w:hAnsi="Arial Unicode MS"/>
          <w:rtl w:val="0"/>
          <w:lang w:val="en-US"/>
        </w:rPr>
        <w:t>Charity number: 1194137</w:t>
      </w:r>
    </w:p>
    <w:p>
      <w:pPr>
        <w:pStyle w:val="Body A"/>
      </w:pPr>
    </w:p>
    <w:p>
      <w:pPr>
        <w:pStyle w:val="Body A"/>
      </w:pPr>
    </w:p>
    <w:p>
      <w:pPr>
        <w:pStyle w:val="Body A"/>
        <w:rPr>
          <w:b w:val="1"/>
          <w:bCs w:val="1"/>
          <w:outline w:val="0"/>
          <w:color w:val="64958f"/>
          <w:sz w:val="28"/>
          <w:szCs w:val="28"/>
          <w:u w:color="64958f"/>
          <w14:textFill>
            <w14:solidFill>
              <w14:srgbClr w14:val="64958F"/>
            </w14:solidFill>
          </w14:textFill>
        </w:rPr>
      </w:pPr>
      <w:r>
        <w:rPr>
          <w:rFonts w:ascii="Arial Unicode MS" w:hAnsi="Arial Unicode MS"/>
          <w:outline w:val="0"/>
          <w:color w:val="64958f"/>
          <w:sz w:val="28"/>
          <w:szCs w:val="28"/>
          <w:u w:color="64958f"/>
          <w:rtl w:val="0"/>
          <w:lang w:val="en-US"/>
          <w14:textFill>
            <w14:solidFill>
              <w14:srgbClr w14:val="64958F"/>
            </w14:solidFill>
          </w14:textFill>
        </w:rPr>
        <w:t>COMPANY CONTACT DETAILS</w:t>
      </w:r>
    </w:p>
    <w:p>
      <w:pPr>
        <w:pStyle w:val="Body A"/>
      </w:pPr>
      <w:r>
        <w:rPr>
          <w:rFonts w:ascii="Arial Unicode MS" w:hAnsi="Arial Unicode MS"/>
          <w:rtl w:val="0"/>
          <w:lang w:val="en-US"/>
        </w:rPr>
        <w:t xml:space="preserve">Website: </w:t>
      </w:r>
      <w:r>
        <w:rPr>
          <w:rStyle w:val="Hyperlink.0"/>
        </w:rPr>
        <w:fldChar w:fldCharType="begin" w:fldLock="0"/>
      </w:r>
      <w:r>
        <w:rPr>
          <w:rStyle w:val="Hyperlink.0"/>
        </w:rPr>
        <w:instrText xml:space="preserve"> HYPERLINK "http://www.movingpartsarts.com"</w:instrText>
      </w:r>
      <w:r>
        <w:rPr>
          <w:rStyle w:val="Hyperlink.0"/>
        </w:rPr>
        <w:fldChar w:fldCharType="separate" w:fldLock="0"/>
      </w:r>
      <w:r>
        <w:rPr>
          <w:rStyle w:val="Hyperlink.0"/>
          <w:rtl w:val="0"/>
        </w:rPr>
        <w:t>www.movingpartsarts.com</w:t>
      </w:r>
      <w:r>
        <w:rPr/>
        <w:fldChar w:fldCharType="end" w:fldLock="0"/>
      </w:r>
      <w:r>
        <w:rPr>
          <w:rStyle w:val="None"/>
          <w:rFonts w:ascii="Arial Unicode MS" w:hAnsi="Arial Unicode MS"/>
          <w:rtl w:val="0"/>
          <w:lang w:val="en-US"/>
        </w:rPr>
        <w:t xml:space="preserve"> </w:t>
      </w:r>
    </w:p>
    <w:p>
      <w:pPr>
        <w:pStyle w:val="Body A"/>
      </w:pPr>
      <w:r>
        <w:rPr>
          <w:rStyle w:val="None"/>
          <w:rFonts w:ascii="Arial Unicode MS" w:hAnsi="Arial Unicode MS"/>
          <w:rtl w:val="0"/>
          <w:lang w:val="en-US"/>
        </w:rPr>
        <w:t xml:space="preserve">General email: </w:t>
      </w:r>
      <w:r>
        <w:rPr>
          <w:rStyle w:val="Hyperlink.0"/>
        </w:rPr>
        <w:fldChar w:fldCharType="begin" w:fldLock="0"/>
      </w:r>
      <w:r>
        <w:rPr>
          <w:rStyle w:val="Hyperlink.0"/>
        </w:rPr>
        <w:instrText xml:space="preserve"> HYPERLINK "mailto:info@movingpartsarts.com"</w:instrText>
      </w:r>
      <w:r>
        <w:rPr>
          <w:rStyle w:val="Hyperlink.0"/>
        </w:rPr>
        <w:fldChar w:fldCharType="separate" w:fldLock="0"/>
      </w:r>
      <w:r>
        <w:rPr>
          <w:rStyle w:val="Hyperlink.0"/>
          <w:rtl w:val="0"/>
        </w:rPr>
        <w:t>info@movingpartsarts.com</w:t>
      </w:r>
      <w:r>
        <w:rPr/>
        <w:fldChar w:fldCharType="end" w:fldLock="0"/>
      </w:r>
      <w:r>
        <w:rPr>
          <w:rStyle w:val="None"/>
          <w:rFonts w:ascii="Arial Unicode MS" w:hAnsi="Arial Unicode MS"/>
          <w:rtl w:val="0"/>
          <w:lang w:val="en-US"/>
        </w:rPr>
        <w:t xml:space="preserve"> </w:t>
      </w:r>
    </w:p>
    <w:p>
      <w:pPr>
        <w:pStyle w:val="Body A"/>
      </w:pPr>
      <w:r>
        <w:rPr>
          <w:rStyle w:val="None"/>
          <w:rFonts w:ascii="Arial Unicode MS" w:hAnsi="Arial Unicode MS"/>
          <w:rtl w:val="0"/>
          <w:lang w:val="en-US"/>
        </w:rPr>
        <w:t>Contact number: 07814046205</w:t>
      </w:r>
    </w:p>
    <w:p>
      <w:pPr>
        <w:pStyle w:val="Body A"/>
      </w:pPr>
    </w:p>
    <w:p>
      <w:pPr>
        <w:pStyle w:val="Body A"/>
        <w:rPr>
          <w:rStyle w:val="None"/>
          <w:rFonts w:ascii="ReadexPro-bold" w:cs="ReadexPro-bold" w:hAnsi="ReadexPro-bold" w:eastAsia="ReadexPro-bold"/>
          <w:b w:val="1"/>
          <w:bCs w:val="1"/>
          <w:outline w:val="0"/>
          <w:color w:val="64958f"/>
          <w:sz w:val="28"/>
          <w:szCs w:val="28"/>
          <w:u w:color="64958f"/>
          <w14:textFill>
            <w14:solidFill>
              <w14:srgbClr w14:val="64958F"/>
            </w14:solidFill>
          </w14:textFill>
        </w:rPr>
      </w:pPr>
      <w:r>
        <w:rPr>
          <w:rStyle w:val="None"/>
          <w:rFonts w:ascii="Arial Unicode MS" w:hAnsi="Arial Unicode MS"/>
          <w:outline w:val="0"/>
          <w:color w:val="64958f"/>
          <w:sz w:val="28"/>
          <w:szCs w:val="28"/>
          <w:u w:color="64958f"/>
          <w:rtl w:val="0"/>
          <w:lang w:val="en-US"/>
          <w14:textFill>
            <w14:solidFill>
              <w14:srgbClr w14:val="64958F"/>
            </w14:solidFill>
          </w14:textFill>
        </w:rPr>
        <w:t>SAFEGUARDING LEAD DETAILS</w:t>
      </w:r>
    </w:p>
    <w:p>
      <w:pPr>
        <w:pStyle w:val="Body A"/>
        <w:rPr>
          <w:rStyle w:val="None"/>
          <w:rFonts w:ascii="Readex Pro Medium" w:cs="Readex Pro Medium" w:hAnsi="Readex Pro Medium" w:eastAsia="Readex Pro Medium"/>
        </w:rPr>
      </w:pPr>
      <w:r>
        <w:rPr>
          <w:rStyle w:val="None"/>
          <w:rFonts w:ascii="Arial Unicode MS" w:hAnsi="Arial Unicode MS"/>
          <w:rtl w:val="0"/>
          <w:lang w:val="en-US"/>
        </w:rPr>
        <w:t>Safeguarding Lead 1: Kerrin Ta</w:t>
      </w:r>
      <w:r>
        <w:rPr>
          <w:rStyle w:val="None"/>
          <w:rFonts w:ascii="Arial Unicode MS" w:hAnsi="Arial Unicode MS"/>
          <w:rtl w:val="0"/>
          <w:lang w:val="en-US"/>
        </w:rPr>
        <w:t>twood</w:t>
      </w:r>
      <w:r>
        <w:rPr>
          <w:rStyle w:val="None"/>
          <w:rFonts w:ascii="Arial Unicode MS" w:hAnsi="Arial Unicode MS"/>
          <w:rtl w:val="0"/>
          <w:lang w:val="en-US"/>
        </w:rPr>
        <w:t xml:space="preserve"> | </w:t>
      </w:r>
      <w:r>
        <w:rPr>
          <w:rStyle w:val="Hyperlink.0"/>
        </w:rPr>
        <w:fldChar w:fldCharType="begin" w:fldLock="0"/>
      </w:r>
      <w:r>
        <w:rPr>
          <w:rStyle w:val="Hyperlink.0"/>
        </w:rPr>
        <w:instrText xml:space="preserve"> HYPERLINK "mailto:info@movingpartsarts.com"</w:instrText>
      </w:r>
      <w:r>
        <w:rPr>
          <w:rStyle w:val="Hyperlink.0"/>
        </w:rPr>
        <w:fldChar w:fldCharType="separate" w:fldLock="0"/>
      </w:r>
      <w:r>
        <w:rPr>
          <w:rStyle w:val="Hyperlink.0"/>
          <w:rtl w:val="0"/>
        </w:rPr>
        <w:t>info@movingpartsarts.com</w:t>
      </w:r>
      <w:r>
        <w:rPr/>
        <w:fldChar w:fldCharType="end" w:fldLock="0"/>
      </w:r>
      <w:r>
        <w:rPr>
          <w:rStyle w:val="None"/>
          <w:rFonts w:ascii="Arial Unicode MS" w:hAnsi="Arial Unicode MS"/>
          <w:rtl w:val="0"/>
          <w:lang w:val="en-US"/>
        </w:rPr>
        <w:t xml:space="preserve">  | 07814046205</w:t>
      </w:r>
    </w:p>
    <w:p>
      <w:pPr>
        <w:pStyle w:val="Body A"/>
        <w:rPr>
          <w:rStyle w:val="None"/>
          <w:rFonts w:ascii="Readex Pro Medium" w:cs="Readex Pro Medium" w:hAnsi="Readex Pro Medium" w:eastAsia="Readex Pro Medium"/>
        </w:rPr>
      </w:pPr>
      <w:r>
        <w:rPr>
          <w:rStyle w:val="None"/>
          <w:rFonts w:ascii="Arial Unicode MS" w:hAnsi="Arial Unicode MS"/>
          <w:rtl w:val="0"/>
          <w:lang w:val="en-US"/>
        </w:rPr>
        <w:t xml:space="preserve">Safeguarding Lead 2: </w:t>
      </w:r>
      <w:r>
        <w:rPr>
          <w:rStyle w:val="None"/>
          <w:rFonts w:ascii="Arial Unicode MS" w:hAnsi="Arial Unicode MS"/>
          <w:rtl w:val="0"/>
          <w:lang w:val="en-US"/>
        </w:rPr>
        <w:t>Molly Barrett-Manasseh</w:t>
      </w:r>
      <w:r>
        <w:rPr>
          <w:rStyle w:val="None"/>
          <w:rFonts w:ascii="Arial Unicode MS" w:hAnsi="Arial Unicode MS"/>
          <w:rtl w:val="0"/>
          <w:lang w:val="en-US"/>
        </w:rPr>
        <w:t xml:space="preserve"> | </w:t>
      </w:r>
      <w:r>
        <w:rPr>
          <w:rStyle w:val="Hyperlink.1"/>
        </w:rPr>
        <w:fldChar w:fldCharType="begin" w:fldLock="0"/>
      </w:r>
      <w:r>
        <w:rPr>
          <w:rStyle w:val="Hyperlink.1"/>
        </w:rPr>
        <w:instrText xml:space="preserve"> HYPERLINK "mailto:movingpartsengage@gmail.com"</w:instrText>
      </w:r>
      <w:r>
        <w:rPr>
          <w:rStyle w:val="Hyperlink.1"/>
        </w:rPr>
        <w:fldChar w:fldCharType="separate" w:fldLock="0"/>
      </w:r>
      <w:r>
        <w:rPr>
          <w:rStyle w:val="Hyperlink.1"/>
          <w:rtl w:val="0"/>
        </w:rPr>
        <w:t>movingpartsengage@gmail.com</w:t>
      </w:r>
      <w:r>
        <w:rPr/>
        <w:fldChar w:fldCharType="end" w:fldLock="0"/>
      </w:r>
      <w:r>
        <w:rPr>
          <w:rStyle w:val="None"/>
          <w:rFonts w:ascii="Arial Unicode MS" w:hAnsi="Arial Unicode MS"/>
          <w:rtl w:val="0"/>
          <w:lang w:val="en-US"/>
        </w:rPr>
        <w:t xml:space="preserve"> </w:t>
      </w:r>
      <w:r>
        <w:rPr>
          <w:rStyle w:val="None"/>
          <w:rFonts w:ascii="Arial Unicode MS" w:hAnsi="Arial Unicode MS"/>
          <w:rtl w:val="0"/>
          <w:lang w:val="en-US"/>
        </w:rPr>
        <w:t>| 0</w:t>
      </w:r>
      <w:r>
        <w:rPr>
          <w:rStyle w:val="None"/>
          <w:rFonts w:ascii="Arial Unicode MS" w:hAnsi="Arial Unicode MS"/>
          <w:rtl w:val="0"/>
          <w:lang w:val="en-US"/>
        </w:rPr>
        <w:t>7900562463</w:t>
      </w:r>
    </w:p>
    <w:p>
      <w:pPr>
        <w:pStyle w:val="Body A"/>
        <w:rPr>
          <w:rStyle w:val="None"/>
          <w:rFonts w:ascii="Readex Pro Medium" w:cs="Readex Pro Medium" w:hAnsi="Readex Pro Medium" w:eastAsia="Readex Pro Medium"/>
        </w:rPr>
      </w:pPr>
      <w:r>
        <w:rPr>
          <w:rStyle w:val="None"/>
          <w:rFonts w:ascii="Arial Unicode MS" w:hAnsi="Arial Unicode MS"/>
          <w:rtl w:val="0"/>
          <w:lang w:val="en-US"/>
        </w:rPr>
        <w:t xml:space="preserve">Safeguarding Lead 3: </w:t>
      </w:r>
      <w:r>
        <w:rPr>
          <w:rStyle w:val="None"/>
          <w:rFonts w:ascii="Arial Unicode MS" w:hAnsi="Arial Unicode MS"/>
          <w:rtl w:val="0"/>
          <w:lang w:val="en-US"/>
        </w:rPr>
        <w:t>Izaak Gledhill</w:t>
      </w:r>
      <w:r>
        <w:rPr>
          <w:rStyle w:val="None"/>
          <w:rFonts w:ascii="Arial Unicode MS" w:hAnsi="Arial Unicode MS"/>
          <w:rtl w:val="0"/>
          <w:lang w:val="en-US"/>
        </w:rPr>
        <w:t xml:space="preserve"> | </w:t>
      </w:r>
      <w:r>
        <w:rPr>
          <w:rStyle w:val="Hyperlink.1"/>
        </w:rPr>
        <w:fldChar w:fldCharType="begin" w:fldLock="0"/>
      </w:r>
      <w:r>
        <w:rPr>
          <w:rStyle w:val="Hyperlink.1"/>
        </w:rPr>
        <w:instrText xml:space="preserve"> HYPERLINK "mailto:movingpartsproducer@gmail.com"</w:instrText>
      </w:r>
      <w:r>
        <w:rPr>
          <w:rStyle w:val="Hyperlink.1"/>
        </w:rPr>
        <w:fldChar w:fldCharType="separate" w:fldLock="0"/>
      </w:r>
      <w:r>
        <w:rPr>
          <w:rStyle w:val="Hyperlink.1"/>
          <w:rtl w:val="0"/>
        </w:rPr>
        <w:t>movingpartsproducer@gmail.com</w:t>
      </w:r>
      <w:r>
        <w:rPr/>
        <w:fldChar w:fldCharType="end" w:fldLock="0"/>
      </w:r>
      <w:r>
        <w:rPr>
          <w:rStyle w:val="None"/>
          <w:rFonts w:ascii="Arial Unicode MS" w:hAnsi="Arial Unicode MS"/>
          <w:rtl w:val="0"/>
          <w:lang w:val="en-US"/>
        </w:rPr>
        <w:t xml:space="preserve"> </w:t>
      </w:r>
      <w:r>
        <w:rPr>
          <w:rStyle w:val="None"/>
          <w:rFonts w:ascii="Arial Unicode MS" w:hAnsi="Arial Unicode MS"/>
          <w:rtl w:val="0"/>
          <w:lang w:val="en-US"/>
        </w:rPr>
        <w:t>| 0</w:t>
      </w:r>
      <w:r>
        <w:rPr>
          <w:rStyle w:val="None"/>
          <w:rFonts w:ascii="Arial Unicode MS" w:hAnsi="Arial Unicode MS"/>
          <w:rtl w:val="0"/>
          <w:lang w:val="en-US"/>
        </w:rPr>
        <w:t>7939360666</w:t>
      </w:r>
    </w:p>
    <w:p>
      <w:pPr>
        <w:pStyle w:val="Body A"/>
        <w:rPr>
          <w:rStyle w:val="None"/>
          <w:rFonts w:ascii="Futura" w:cs="Futura" w:hAnsi="Futura" w:eastAsia="Futura"/>
        </w:rPr>
      </w:pPr>
    </w:p>
    <w:p>
      <w:pPr>
        <w:pStyle w:val="Body A"/>
        <w:rPr>
          <w:rStyle w:val="None"/>
          <w:rFonts w:ascii="Futura" w:cs="Futura" w:hAnsi="Futura" w:eastAsia="Futura"/>
        </w:rPr>
      </w:pPr>
    </w:p>
    <w:p>
      <w:pPr>
        <w:pStyle w:val="Body A"/>
        <w:rPr>
          <w:rStyle w:val="None"/>
          <w:outline w:val="0"/>
          <w:color w:val="64958f"/>
          <w:u w:color="64958f"/>
          <w14:textFill>
            <w14:solidFill>
              <w14:srgbClr w14:val="64958F"/>
            </w14:solidFill>
          </w14:textFill>
        </w:rPr>
      </w:pPr>
      <w:r>
        <w:rPr>
          <w:rStyle w:val="None"/>
          <w:rFonts w:ascii="Arial Unicode MS" w:hAnsi="Arial Unicode MS"/>
          <w:outline w:val="0"/>
          <w:color w:val="64958f"/>
          <w:u w:color="64958f"/>
          <w:rtl w:val="0"/>
          <w:lang w:val="en-US"/>
          <w14:textFill>
            <w14:solidFill>
              <w14:srgbClr w14:val="64958F"/>
            </w14:solidFill>
          </w14:textFill>
        </w:rPr>
        <w:t>Our regular programme of activities includes, but is not limited to:</w:t>
      </w:r>
    </w:p>
    <w:p>
      <w:pPr>
        <w:pStyle w:val="Body A"/>
        <w:rPr>
          <w:rStyle w:val="None"/>
          <w:outline w:val="0"/>
          <w:color w:val="64958f"/>
          <w:u w:color="64958f"/>
          <w14:textFill>
            <w14:solidFill>
              <w14:srgbClr w14:val="64958F"/>
            </w14:solidFill>
          </w14:textFill>
        </w:rPr>
      </w:pPr>
    </w:p>
    <w:p>
      <w:pPr>
        <w:pStyle w:val="Body A"/>
        <w:numPr>
          <w:ilvl w:val="0"/>
          <w:numId w:val="2"/>
        </w:numPr>
        <w:bidi w:val="0"/>
        <w:ind w:right="0"/>
        <w:jc w:val="left"/>
        <w:rPr>
          <w:rtl w:val="0"/>
          <w:lang w:val="en-US"/>
        </w:rPr>
      </w:pPr>
      <w:r>
        <w:rPr>
          <w:rStyle w:val="None"/>
          <w:rFonts w:ascii="Arial Unicode MS" w:hAnsi="Arial Unicode MS"/>
          <w:rtl w:val="0"/>
          <w:lang w:val="en-US"/>
        </w:rPr>
        <w:t xml:space="preserve">Moving Parts: Newcastle Puppetry Festival, which includes performances, workshops, engagement projects and outdoor events for adults and children. </w:t>
      </w:r>
    </w:p>
    <w:p>
      <w:pPr>
        <w:pStyle w:val="Body A"/>
      </w:pPr>
    </w:p>
    <w:p>
      <w:pPr>
        <w:pStyle w:val="Body A"/>
        <w:numPr>
          <w:ilvl w:val="0"/>
          <w:numId w:val="2"/>
        </w:numPr>
        <w:bidi w:val="0"/>
        <w:ind w:right="0"/>
        <w:jc w:val="left"/>
        <w:rPr>
          <w:rtl w:val="0"/>
          <w:lang w:val="en-US"/>
        </w:rPr>
      </w:pPr>
      <w:r>
        <w:rPr>
          <w:rStyle w:val="None"/>
          <w:rFonts w:ascii="Arial Unicode MS" w:hAnsi="Arial Unicode MS"/>
          <w:rtl w:val="0"/>
          <w:lang w:val="en-US"/>
        </w:rPr>
        <w:t>One-off events, including performances, workshops, engagement projects and outdoor events for adults and children.</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The Moving Parts Scratch Space, which includes performances and workshops for adults and children.</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The Moving Parts Puppet School, which includes performances and workshops for adults and children.</w:t>
      </w: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rPr>
          <w:rStyle w:val="None"/>
          <w:b w:val="1"/>
          <w:bCs w:val="1"/>
          <w:outline w:val="0"/>
          <w:color w:val="64958f"/>
          <w:sz w:val="30"/>
          <w:szCs w:val="30"/>
          <w:u w:color="64958f"/>
          <w14:textFill>
            <w14:solidFill>
              <w14:srgbClr w14:val="64958F"/>
            </w14:solidFill>
          </w14:textFill>
        </w:rPr>
      </w:pPr>
      <w:r>
        <w:rPr>
          <w:rStyle w:val="None"/>
          <w:rFonts w:ascii="Arial Unicode MS" w:hAnsi="Arial Unicode MS"/>
          <w:outline w:val="0"/>
          <w:color w:val="64958f"/>
          <w:sz w:val="30"/>
          <w:szCs w:val="30"/>
          <w:u w:color="64958f"/>
          <w:rtl w:val="0"/>
          <w:lang w:val="en-US"/>
          <w14:textFill>
            <w14:solidFill>
              <w14:srgbClr w14:val="64958F"/>
            </w14:solidFill>
          </w14:textFill>
        </w:rPr>
        <w:t>1. INTRODUCTION AND STATEMENT OF INTENT</w:t>
      </w:r>
    </w:p>
    <w:p>
      <w:pPr>
        <w:pStyle w:val="Body A"/>
      </w:pPr>
    </w:p>
    <w:p>
      <w:pPr>
        <w:pStyle w:val="Body A"/>
        <w:jc w:val="both"/>
      </w:pPr>
      <w:r>
        <w:rPr>
          <w:rStyle w:val="None"/>
          <w:rFonts w:ascii="Arial Unicode MS" w:hAnsi="Arial Unicode MS"/>
          <w:outline w:val="0"/>
          <w:color w:val="64958f"/>
          <w:u w:color="64958f"/>
          <w:rtl w:val="0"/>
          <w:lang w:val="en-US"/>
          <w14:textFill>
            <w14:solidFill>
              <w14:srgbClr w14:val="64958F"/>
            </w14:solidFill>
          </w14:textFill>
        </w:rPr>
        <w:t>Moving Parts Arts CIO.</w:t>
      </w:r>
      <w:r>
        <w:rPr>
          <w:rStyle w:val="None"/>
          <w:rFonts w:ascii="Arial Unicode MS" w:hAnsi="Arial Unicode MS"/>
          <w:rtl w:val="0"/>
          <w:lang w:val="en-US"/>
        </w:rPr>
        <w:t xml:space="preserve"> (hereafter referred to as </w:t>
      </w:r>
      <w:r>
        <w:rPr>
          <w:rStyle w:val="None"/>
          <w:rFonts w:ascii="Arial Unicode MS" w:hAnsi="Arial Unicode MS" w:hint="default"/>
          <w:rtl w:val="0"/>
          <w:lang w:val="en-US"/>
        </w:rPr>
        <w:t>‘</w:t>
      </w:r>
      <w:r>
        <w:rPr>
          <w:rStyle w:val="None"/>
          <w:rFonts w:ascii="Arial Unicode MS" w:hAnsi="Arial Unicode MS"/>
          <w:rtl w:val="0"/>
          <w:lang w:val="en-US"/>
        </w:rPr>
        <w:t>Moving Parts</w:t>
      </w:r>
      <w:r>
        <w:rPr>
          <w:rStyle w:val="None"/>
          <w:rFonts w:ascii="Arial Unicode MS" w:hAnsi="Arial Unicode MS" w:hint="default"/>
          <w:rtl w:val="0"/>
          <w:lang w:val="en-US"/>
        </w:rPr>
        <w:t>’</w:t>
      </w:r>
      <w:r>
        <w:rPr>
          <w:rStyle w:val="None"/>
          <w:rFonts w:ascii="Arial Unicode MS" w:hAnsi="Arial Unicode MS"/>
          <w:rtl w:val="0"/>
          <w:lang w:val="en-US"/>
        </w:rPr>
        <w:t xml:space="preserve">) is committed to a practice, which protects vulnerable adults from harm. All </w:t>
      </w:r>
      <w:r>
        <w:rPr>
          <w:rStyle w:val="None"/>
          <w:rFonts w:ascii="Arial Unicode MS" w:hAnsi="Arial Unicode MS"/>
          <w:outline w:val="0"/>
          <w:color w:val="64958f"/>
          <w:u w:color="64958f"/>
          <w:rtl w:val="0"/>
          <w:lang w:val="en-US"/>
          <w14:textFill>
            <w14:solidFill>
              <w14:srgbClr w14:val="64958F"/>
            </w14:solidFill>
          </w14:textFill>
        </w:rPr>
        <w:t>contracted freelance staff and directors*</w:t>
      </w:r>
      <w:r>
        <w:rPr>
          <w:rStyle w:val="None"/>
          <w:rFonts w:ascii="Arial Unicode MS" w:hAnsi="Arial Unicode MS"/>
          <w:rtl w:val="0"/>
          <w:lang w:val="en-US"/>
        </w:rPr>
        <w:t xml:space="preserve"> (hereafter referred to as </w:t>
      </w:r>
      <w:r>
        <w:rPr>
          <w:rStyle w:val="None"/>
          <w:rFonts w:ascii="Arial Unicode MS" w:hAnsi="Arial Unicode MS" w:hint="default"/>
          <w:rtl w:val="0"/>
          <w:lang w:val="en-US"/>
        </w:rPr>
        <w:t>‘</w:t>
      </w:r>
      <w:r>
        <w:rPr>
          <w:rStyle w:val="None"/>
          <w:rFonts w:ascii="Arial Unicode MS" w:hAnsi="Arial Unicode MS"/>
          <w:rtl w:val="0"/>
          <w:lang w:val="en-US"/>
        </w:rPr>
        <w:t>staff</w:t>
      </w:r>
      <w:r>
        <w:rPr>
          <w:rStyle w:val="None"/>
          <w:rFonts w:ascii="Arial Unicode MS" w:hAnsi="Arial Unicode MS" w:hint="default"/>
          <w:rtl w:val="0"/>
          <w:lang w:val="en-US"/>
        </w:rPr>
        <w:t>’</w:t>
      </w:r>
      <w:r>
        <w:rPr>
          <w:rStyle w:val="None"/>
          <w:rFonts w:ascii="Arial Unicode MS" w:hAnsi="Arial Unicode MS"/>
          <w:rtl w:val="0"/>
          <w:lang w:val="en-US"/>
        </w:rPr>
        <w:t xml:space="preserve">) and volunteers accept and recognise our responsibilities to develop awareness of issues, which cause vulnerable adults harm. </w:t>
      </w:r>
    </w:p>
    <w:p>
      <w:pPr>
        <w:pStyle w:val="Body A"/>
        <w:jc w:val="both"/>
      </w:pPr>
    </w:p>
    <w:p>
      <w:pPr>
        <w:pStyle w:val="Body A"/>
        <w:jc w:val="both"/>
      </w:pPr>
      <w:r>
        <w:rPr>
          <w:rStyle w:val="None"/>
          <w:rFonts w:ascii="Arial Unicode MS" w:hAnsi="Arial Unicode MS"/>
          <w:rtl w:val="0"/>
          <w:lang w:val="en-US"/>
        </w:rPr>
        <w:t xml:space="preserve">*Note that this does not refer to short-term contractors, such as artists performing at a one-off event.   </w:t>
      </w:r>
    </w:p>
    <w:p>
      <w:pPr>
        <w:pStyle w:val="Body A"/>
        <w:jc w:val="both"/>
      </w:pPr>
    </w:p>
    <w:p>
      <w:pPr>
        <w:pStyle w:val="Body A"/>
        <w:jc w:val="both"/>
      </w:pPr>
      <w:r>
        <w:rPr>
          <w:rStyle w:val="None"/>
          <w:rFonts w:ascii="Arial Unicode MS" w:hAnsi="Arial Unicode MS"/>
          <w:rtl w:val="0"/>
          <w:lang w:val="en-US"/>
        </w:rPr>
        <w:t>It is the policy of Moving Parts to safeguard the welfare of all vulnerable adults by protecting them from all forms of abuse and neglect including physical, emotional, financial and sexual harm. Personnel should at all times show respect and understanding for individual</w:t>
      </w:r>
      <w:r>
        <w:rPr>
          <w:rStyle w:val="None"/>
          <w:rFonts w:ascii="Arial Unicode MS" w:hAnsi="Arial Unicode MS" w:hint="default"/>
          <w:rtl w:val="0"/>
          <w:lang w:val="en-US"/>
        </w:rPr>
        <w:t>’</w:t>
      </w:r>
      <w:r>
        <w:rPr>
          <w:rStyle w:val="None"/>
          <w:rFonts w:ascii="Arial Unicode MS" w:hAnsi="Arial Unicode MS"/>
          <w:rtl w:val="0"/>
          <w:lang w:val="en-US"/>
        </w:rPr>
        <w:t xml:space="preserve">s rights, safety and welfare, and conduct themselves in a way that reflects the ethos and principles of Moving Parts. This organisation is committed to creating a safe environment in which vulnerable adults can feel comfortable and secure while engaged in any of our programmes and activities.  </w:t>
      </w:r>
    </w:p>
    <w:p>
      <w:pPr>
        <w:pStyle w:val="Body A"/>
      </w:pPr>
    </w:p>
    <w:p>
      <w:pPr>
        <w:pStyle w:val="Body A"/>
      </w:pPr>
      <w:r>
        <w:rPr>
          <w:rStyle w:val="None"/>
          <w:rFonts w:ascii="Arial Unicode MS" w:hAnsi="Arial Unicode MS"/>
          <w:outline w:val="0"/>
          <w:color w:val="64958f"/>
          <w:u w:color="64958f"/>
          <w:rtl w:val="0"/>
          <w:lang w:val="en-US"/>
          <w14:textFill>
            <w14:solidFill>
              <w14:srgbClr w14:val="64958F"/>
            </w14:solidFill>
          </w14:textFill>
        </w:rPr>
        <w:t>We will endeavour to safeguard vulnerable adults by:</w:t>
      </w:r>
      <w:r>
        <w:rPr>
          <w:rStyle w:val="None"/>
          <w:rFonts w:ascii="Arial Unicode MS" w:hAnsi="Arial Unicode MS"/>
          <w:rtl w:val="0"/>
          <w:lang w:val="en-US"/>
        </w:rPr>
        <w:t xml:space="preserve"> </w:t>
      </w:r>
    </w:p>
    <w:p>
      <w:pPr>
        <w:pStyle w:val="Body A"/>
      </w:pPr>
    </w:p>
    <w:p>
      <w:pPr>
        <w:pStyle w:val="Body A"/>
        <w:numPr>
          <w:ilvl w:val="0"/>
          <w:numId w:val="2"/>
        </w:numPr>
        <w:bidi w:val="0"/>
        <w:ind w:right="0"/>
        <w:jc w:val="left"/>
        <w:rPr>
          <w:rtl w:val="0"/>
          <w:lang w:val="en-US"/>
        </w:rPr>
      </w:pPr>
      <w:r>
        <w:rPr>
          <w:rStyle w:val="None"/>
          <w:rFonts w:ascii="Arial Unicode MS" w:hAnsi="Arial Unicode MS"/>
          <w:rtl w:val="0"/>
          <w:lang w:val="en-US"/>
        </w:rPr>
        <w:t>Adopting vulnerable adult protection guidelines through a code of behaviour for staff and volunteers.</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Sharing information about vulnerable adult protection and good practice with staff and volunteers in an accessible manner.</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Sharing information about concerns with agencies who need to know, and involving carers, guardians or other named parties as appropriate.</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 xml:space="preserve">Safeguarding vulnerable adults in a way that supports them in making choices and having control about how they want to live. </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Following procedures carefully for recruitment and selection of staff and volunteers, including Disclosure and Barring Service (DBS) checks.</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 xml:space="preserve">Providing effective management for staff and volunteers through supervision, support and training. </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Ensuring that any allegation of abuse or suspicions are dealt with appropriately and the person experiencing abuse is supported.</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 xml:space="preserve">Clearly advertising or collecting permission during public events when photography or videography is being recorded and where the footage will be displayed. </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Only partnering with organisations for project delivery who uphold good standards of vulnerable adult protection.</w:t>
      </w:r>
      <w:r>
        <w:rPr>
          <w:rStyle w:val="None"/>
          <w:rFonts w:ascii="Arial Unicode MS" w:cs="Arial Unicode MS" w:hAnsi="Arial Unicode MS" w:eastAsia="Arial Unicode MS"/>
        </w:rPr>
        <w:br w:type="textWrapping"/>
      </w:r>
    </w:p>
    <w:p>
      <w:pPr>
        <w:pStyle w:val="Body A"/>
        <w:numPr>
          <w:ilvl w:val="0"/>
          <w:numId w:val="2"/>
        </w:numPr>
        <w:bidi w:val="0"/>
        <w:ind w:right="0"/>
        <w:jc w:val="left"/>
        <w:rPr>
          <w:rtl w:val="0"/>
          <w:lang w:val="en-US"/>
        </w:rPr>
      </w:pPr>
      <w:r>
        <w:rPr>
          <w:rStyle w:val="None"/>
          <w:rFonts w:ascii="Arial Unicode MS" w:hAnsi="Arial Unicode MS"/>
          <w:rtl w:val="0"/>
          <w:lang w:val="en-US"/>
        </w:rPr>
        <w:t xml:space="preserve">Ensuring that all contractors, ie. booked artists, are not left with vulnerable adults on their own and a trained member of Moving Parts staff who is DBS checked is present during any contact time. </w:t>
      </w:r>
    </w:p>
    <w:p>
      <w:pPr>
        <w:pStyle w:val="Body A"/>
      </w:pPr>
    </w:p>
    <w:p>
      <w:pPr>
        <w:pStyle w:val="Body A"/>
        <w:numPr>
          <w:ilvl w:val="0"/>
          <w:numId w:val="2"/>
        </w:numPr>
        <w:bidi w:val="0"/>
        <w:ind w:right="0"/>
        <w:jc w:val="left"/>
        <w:rPr>
          <w:rtl w:val="0"/>
          <w:lang w:val="en-US"/>
        </w:rPr>
      </w:pPr>
      <w:r>
        <w:rPr>
          <w:rStyle w:val="None"/>
          <w:rFonts w:ascii="Arial Unicode MS" w:hAnsi="Arial Unicode MS"/>
          <w:rtl w:val="0"/>
          <w:lang w:val="en-US"/>
        </w:rPr>
        <w:t xml:space="preserve">Being committed to reviewing our policy and good practice on an annual basis. </w:t>
      </w:r>
    </w:p>
    <w:p>
      <w:pPr>
        <w:pStyle w:val="Body A"/>
      </w:pPr>
    </w:p>
    <w:p>
      <w:pPr>
        <w:pStyle w:val="Body A"/>
        <w:rPr>
          <w:rStyle w:val="None"/>
          <w:b w:val="1"/>
          <w:bCs w:val="1"/>
          <w:outline w:val="0"/>
          <w:color w:val="64958f"/>
          <w:sz w:val="30"/>
          <w:szCs w:val="30"/>
          <w:u w:color="64958f"/>
          <w14:textFill>
            <w14:solidFill>
              <w14:srgbClr w14:val="64958F"/>
            </w14:solidFill>
          </w14:textFill>
        </w:rPr>
      </w:pPr>
      <w:r>
        <w:rPr>
          <w:rStyle w:val="None"/>
          <w:rFonts w:ascii="Arial Unicode MS" w:hAnsi="Arial Unicode MS"/>
          <w:outline w:val="0"/>
          <w:color w:val="64958f"/>
          <w:sz w:val="30"/>
          <w:szCs w:val="30"/>
          <w:u w:color="64958f"/>
          <w:rtl w:val="0"/>
          <w:lang w:val="en-US"/>
          <w14:textFill>
            <w14:solidFill>
              <w14:srgbClr w14:val="64958F"/>
            </w14:solidFill>
          </w14:textFill>
        </w:rPr>
        <w:t>2. GENERAL GUIDELINES FOR ALL MOVING PARTS STAFF AND VOLUNTEERS</w:t>
      </w:r>
    </w:p>
    <w:p>
      <w:pPr>
        <w:pStyle w:val="Body A"/>
      </w:pP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DEFINITION</w:t>
      </w:r>
      <w:r>
        <w:rPr>
          <w:rStyle w:val="None"/>
          <w:rFonts w:ascii="Arial Unicode MS" w:cs="Arial Unicode MS" w:hAnsi="Arial Unicode MS" w:eastAsia="Arial Unicode MS"/>
          <w:outline w:val="0"/>
          <w:color w:val="64958f"/>
          <w:sz w:val="26"/>
          <w:szCs w:val="26"/>
          <w:u w:color="64958f"/>
          <w14:textFill>
            <w14:solidFill>
              <w14:srgbClr w14:val="64958F"/>
            </w14:solidFill>
          </w14:textFill>
        </w:rPr>
        <w:br w:type="textWrapping"/>
      </w:r>
      <w:r>
        <w:rPr>
          <w:rStyle w:val="None"/>
          <w:rFonts w:ascii="Arial Unicode MS" w:cs="Arial Unicode MS" w:hAnsi="Arial Unicode MS" w:eastAsia="Arial Unicode MS"/>
          <w:outline w:val="0"/>
          <w:color w:val="64958f"/>
          <w:sz w:val="22"/>
          <w:szCs w:val="22"/>
          <w:u w:color="64958f"/>
          <w14:textFill>
            <w14:solidFill>
              <w14:srgbClr w14:val="64958F"/>
            </w14:solidFill>
          </w14:textFill>
        </w:rPr>
        <w:br w:type="textWrapping"/>
      </w:r>
      <w:r>
        <w:rPr>
          <w:rStyle w:val="None"/>
          <w:rFonts w:ascii="Arial Unicode MS" w:hAnsi="Arial Unicode MS"/>
          <w:sz w:val="22"/>
          <w:szCs w:val="22"/>
          <w:rtl w:val="0"/>
          <w:lang w:val="en-US"/>
        </w:rPr>
        <w:t>An adult at risk is defined by the 2014 Care Act as individuals aged over 18 who:</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Have need for care and support (whether or not the local authority is meeting any of those needs).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Is experiencing, or at risk of, abuse or neglect.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As a result of those care and support needs is unable to protect themselves from either the risk of, or the experience of abuse or neglect. </w:t>
      </w:r>
      <w:r>
        <w:rPr>
          <w:rStyle w:val="None"/>
          <w:rFonts w:ascii="Arial Unicode MS" w:cs="Arial Unicode MS" w:hAnsi="Arial Unicode MS" w:eastAsia="Arial Unicode MS"/>
          <w:outline w:val="0"/>
          <w:color w:val="64958f"/>
          <w:sz w:val="26"/>
          <w:szCs w:val="26"/>
          <w:u w:color="64958f"/>
          <w14:textFill>
            <w14:solidFill>
              <w14:srgbClr w14:val="64958F"/>
            </w14:solidFill>
          </w14:textFill>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ATTITUDES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Staff and volunteers are committed to:</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Treating vulnerable adults with respect and dignity.</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Always listening to what a vulnerable adult is saying or communicating.</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Valuing each vulnerable adult.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Recognising the unique contribution each individual can make.</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BY EXAMPLE</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Staff and volunteers will endeavour to:</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Provide an example, which we would wish others to follow.</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Use appropriate communication with vulnerable adults in a non-patronising manner. Volunteers will be made aware that people have a range of communication needs and methods and are encouraged to explore how the person communicates and be lead by them and/or their carers.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Respect a vulnerable adult</w:t>
      </w:r>
      <w:r>
        <w:rPr>
          <w:rStyle w:val="None"/>
          <w:rFonts w:ascii="Arial Unicode MS" w:hAnsi="Arial Unicode MS" w:hint="default"/>
          <w:sz w:val="22"/>
          <w:szCs w:val="22"/>
          <w:rtl w:val="0"/>
          <w:lang w:val="en-US"/>
        </w:rPr>
        <w:t>’</w:t>
      </w:r>
      <w:r>
        <w:rPr>
          <w:rStyle w:val="None"/>
          <w:rFonts w:ascii="Arial Unicode MS" w:hAnsi="Arial Unicode MS"/>
          <w:sz w:val="22"/>
          <w:szCs w:val="22"/>
          <w:rtl w:val="0"/>
          <w:lang w:val="en-US"/>
        </w:rPr>
        <w:t xml:space="preserve">s right to privacy.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PHYSICAL CONTACT WITH THE PUBLIC OR OTHER STAFF DURING WORKING HOURS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Staff and volunteers should never:</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Engage in sexually provocative or rough physical games, including horseplay.</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Do things of a personal nature for a vulnerable adult that they can do for themselves. If such an incident arises, for example, where a vulnerable adult has limited mobility, Moving Parts staff should seek advice from the Safeguarding Leads to deal with such an incident.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Allow, or engage in, inappropriate touching of any kind.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GENERAL</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Staff and volunteers should:</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Be aware that someone might misinterpret our actions no matter how well intentioned.</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Never allow ourselves to be drawn into inappropriate situations, such as tantrums or crushes.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Never exaggerate or trivialise vulnerable adult abuse issues or make suggestive remarks or gestures about, or to a vulnerable adult, even in fun.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RELATIONSHIPS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Staff and volunteers who are involved in relationships with other members of staff or volunteers should ensure that their personal relationships do not affect their role within Moving Parts or the work of Moving Parts.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SHARING INFORMATION - GENERAL</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Good communication is essential in any organisation. In Moving Parts every effort will be made to assure that, should individuals have concerns, they will be listened to and taken seriously.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It is the responsibility of the management to ensure that information is available to, and exchanged between all those involved in this organisation and its activities. Some information is confidential and should only be shared on a strictly need-to-know basis.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Any confidential information will be locked in a draw in the Moving Parts office or in a password-protected digital filing system and only made accessible to the Safeguarding Leads.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Personal information, such as contact details, must not be shared publicly without consent. All Moving Parts personnel should refer to our Data Policy at </w:t>
      </w:r>
      <w:r>
        <w:rPr>
          <w:rStyle w:val="Hyperlink.2"/>
          <w:rFonts w:ascii="Arial Unicode MS" w:cs="Arial Unicode MS" w:hAnsi="Arial Unicode MS" w:eastAsia="Arial Unicode MS"/>
          <w:sz w:val="22"/>
          <w:szCs w:val="22"/>
          <w:u w:val="single"/>
        </w:rPr>
        <w:fldChar w:fldCharType="begin" w:fldLock="0"/>
      </w:r>
      <w:r>
        <w:rPr>
          <w:rStyle w:val="Hyperlink.2"/>
          <w:rFonts w:ascii="Arial Unicode MS" w:cs="Arial Unicode MS" w:hAnsi="Arial Unicode MS" w:eastAsia="Arial Unicode MS"/>
          <w:sz w:val="22"/>
          <w:szCs w:val="22"/>
          <w:u w:val="single"/>
        </w:rPr>
        <w:instrText xml:space="preserve"> HYPERLINK "http://www.newcastlepuppetryfestival.co.uk/data"</w:instrText>
      </w:r>
      <w:r>
        <w:rPr>
          <w:rStyle w:val="Hyperlink.2"/>
          <w:rFonts w:ascii="Arial Unicode MS" w:cs="Arial Unicode MS" w:hAnsi="Arial Unicode MS" w:eastAsia="Arial Unicode MS"/>
          <w:sz w:val="22"/>
          <w:szCs w:val="22"/>
          <w:u w:val="single"/>
        </w:rPr>
        <w:fldChar w:fldCharType="separate" w:fldLock="0"/>
      </w:r>
      <w:r>
        <w:rPr>
          <w:rStyle w:val="Hyperlink.2"/>
          <w:rFonts w:ascii="Arial Unicode MS" w:hAnsi="Arial Unicode MS"/>
          <w:sz w:val="22"/>
          <w:szCs w:val="22"/>
          <w:u w:val="single"/>
          <w:rtl w:val="0"/>
          <w:lang w:val="en-US"/>
        </w:rPr>
        <w:t>www.movingpartsarts.com/data</w:t>
      </w:r>
      <w:r>
        <w:rPr>
          <w:sz w:val="26"/>
          <w:szCs w:val="26"/>
        </w:rPr>
        <w:fldChar w:fldCharType="end" w:fldLock="0"/>
      </w:r>
      <w:r>
        <w:rPr>
          <w:rStyle w:val="None"/>
          <w:rFonts w:ascii="Arial Unicode MS" w:hAnsi="Arial Unicode MS"/>
          <w:sz w:val="22"/>
          <w:szCs w:val="22"/>
          <w:rtl w:val="0"/>
          <w:lang w:val="en-US"/>
        </w:rPr>
        <w:t xml:space="preserve">..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SHARING INFORMATION - PUBLIC</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Vulnerable adults and their families have a right to information, especially any information that could make life better and safer for them. Moving Parts will act to ensure they have information about how, and with whom, they can share their concerns, complaints and anxieties.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Vulnerable adults and their families should be assured that they are involved with a credible organisation.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We achieve this by:</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publicising information on all our public-facing activities.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publishing the named Safeguarding Leads and how to make a complaint/suggestion/request further information on our website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publishing a full copy of this Vulnerable Adult Protection Policy on our website.</w:t>
      </w:r>
    </w:p>
    <w:p>
      <w:pPr>
        <w:pStyle w:val="Body A"/>
      </w:pPr>
    </w:p>
    <w:p>
      <w:pPr>
        <w:pStyle w:val="Body A"/>
      </w:pP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SHARING INFORMATION - STAFF &amp; VOLUNTEERS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It is imperative that each member of Moving Parts staff is aware of their responsibilities under Vulnerable Adult Protection legislation and has a working knowledge of Moving Parts procedures.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Each member of staff will receive updated training in Vulnerable Adult Protection every three years.</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SHARING INFORMATION - OTHER BODIES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 copy of our Vulnerable Adults Protection Policy will be made available to any other appropriate body.</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BEING AWARE</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All staff and volunteers will be made aware to be extra vigilant during events where contractors and vulnerable adults are present, i.e. a booked artist running a workshop. There will always be a trained Moving Parts staff member or volunteer present during such an occurrence.</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During events with the public, Moving Parts staff and volunteers must be extra vigilant for inappropriate activity. This includes photography, for instance if a member of the public is taking photographs of people without prior consent.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PHOTOGRAPHY</w:t>
      </w:r>
      <w:r>
        <w:rPr>
          <w:rStyle w:val="None"/>
          <w:rFonts w:ascii="Arial Unicode MS" w:hAnsi="Arial Unicode MS"/>
          <w:sz w:val="22"/>
          <w:szCs w:val="22"/>
          <w:rtl w:val="0"/>
          <w:lang w:val="en-US"/>
        </w:rPr>
        <w:t xml:space="preserve">  </w:t>
        <w:br w:type="textWrapping"/>
        <w:br w:type="textWrapping"/>
      </w:r>
      <w:r>
        <w:rPr>
          <w:rStyle w:val="None"/>
          <w:rFonts w:ascii="Arial Unicode MS" w:hAnsi="Arial Unicode MS"/>
          <w:sz w:val="22"/>
          <w:szCs w:val="22"/>
          <w:rtl w:val="0"/>
          <w:lang w:val="en-US"/>
        </w:rPr>
        <w:t>- We regularly take pictures and shoot videos at our events for marketing and evaluation purposes. The public must be made aware of this through clearly displayed signage or through granting consent where appropriate. It must be considered how a person granting consent communicates and efforts are made to meet their needs so they have understood the essential information.</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sz w:val="26"/>
          <w:szCs w:val="26"/>
          <w:rtl w:val="0"/>
          <w:lang w:val="en-US"/>
        </w:rPr>
        <w:t xml:space="preserve"> </w:t>
      </w:r>
      <w:r>
        <w:rPr>
          <w:rStyle w:val="None"/>
          <w:rFonts w:ascii="Arial Unicode MS" w:hAnsi="Arial Unicode MS"/>
          <w:outline w:val="0"/>
          <w:color w:val="64958f"/>
          <w:sz w:val="26"/>
          <w:szCs w:val="26"/>
          <w:u w:color="64958f"/>
          <w:rtl w:val="0"/>
          <w:lang w:val="en-US"/>
          <w14:textFill>
            <w14:solidFill>
              <w14:srgbClr w14:val="64958F"/>
            </w14:solidFill>
          </w14:textFill>
        </w:rPr>
        <w:t>TRAINING</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All members of the core Moving Parts staff must receive at least Level 1 training in vulnerable adult protection every 3 years.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The Safeguarding Leads must receive at least Level 3 training in vulnerable adult protection every 3 years.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The level of training will be given to core Moving Parts staff depending on the nature of their roles.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If appropriate, volunteers will receive Level 1 training if helping to deliver Moving Parts activities.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All members of the core Moving Parts staff will be DBS checked.</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RECORD KEEPING</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All records, information and confidential notes will be kept in separate files in a locked drawer or filing cabinet, or equivalent password-protected electronic filing system.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Only the Safeguarding Leads will have access to these files.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FURTHER INFORMATION</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For further information about what to do if you are worried a vulnerable adult is being abused, see the Newcastle City Council website: </w:t>
      </w:r>
      <w:r>
        <w:rPr>
          <w:rStyle w:val="Hyperlink.2"/>
          <w:rFonts w:ascii="Arial Unicode MS" w:cs="Arial Unicode MS" w:hAnsi="Arial Unicode MS" w:eastAsia="Arial Unicode MS"/>
          <w:sz w:val="22"/>
          <w:szCs w:val="22"/>
          <w:u w:val="single"/>
        </w:rPr>
        <w:fldChar w:fldCharType="begin" w:fldLock="0"/>
      </w:r>
      <w:r>
        <w:rPr>
          <w:rStyle w:val="Hyperlink.2"/>
          <w:rFonts w:ascii="Arial Unicode MS" w:cs="Arial Unicode MS" w:hAnsi="Arial Unicode MS" w:eastAsia="Arial Unicode MS"/>
          <w:sz w:val="22"/>
          <w:szCs w:val="22"/>
          <w:u w:val="single"/>
        </w:rPr>
        <w:instrText xml:space="preserve"> HYPERLINK "https://www.newcastle.gov.uk/social-care-and-health/safeguarding-and-abuse/safeguarding-information-professionals/newcastle-safeguarding-adults-unit"</w:instrText>
      </w:r>
      <w:r>
        <w:rPr>
          <w:rStyle w:val="Hyperlink.2"/>
          <w:rFonts w:ascii="Arial Unicode MS" w:cs="Arial Unicode MS" w:hAnsi="Arial Unicode MS" w:eastAsia="Arial Unicode MS"/>
          <w:sz w:val="22"/>
          <w:szCs w:val="22"/>
          <w:u w:val="single"/>
        </w:rPr>
        <w:fldChar w:fldCharType="separate" w:fldLock="0"/>
      </w:r>
      <w:r>
        <w:rPr>
          <w:rStyle w:val="Hyperlink.2"/>
          <w:rFonts w:ascii="Arial Unicode MS" w:hAnsi="Arial Unicode MS"/>
          <w:sz w:val="22"/>
          <w:szCs w:val="22"/>
          <w:u w:val="single"/>
          <w:rtl w:val="0"/>
          <w:lang w:val="en-US"/>
        </w:rPr>
        <w:t>https://www.newcastle.gov.uk/social-care-and-health/safeguarding-and-abuse/safeguarding-information-professionals/newcastle-safeguarding-adults-unit</w:t>
      </w:r>
      <w:r>
        <w:rPr>
          <w:sz w:val="26"/>
          <w:szCs w:val="26"/>
        </w:rPr>
        <w:fldChar w:fldCharType="end" w:fldLock="0"/>
      </w:r>
      <w:r>
        <w:rPr>
          <w:rStyle w:val="None"/>
          <w:rFonts w:ascii="Arial Unicode MS" w:cs="Arial Unicode MS" w:hAnsi="Arial Unicode MS" w:eastAsia="Arial Unicode MS"/>
          <w:sz w:val="22"/>
          <w:szCs w:val="22"/>
        </w:rPr>
        <w:br w:type="textWrapping"/>
      </w: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rPr>
          <w:rStyle w:val="None"/>
          <w:b w:val="1"/>
          <w:bCs w:val="1"/>
          <w:outline w:val="0"/>
          <w:color w:val="64958f"/>
          <w:sz w:val="30"/>
          <w:szCs w:val="30"/>
          <w:u w:color="64958f"/>
          <w14:textFill>
            <w14:solidFill>
              <w14:srgbClr w14:val="64958F"/>
            </w14:solidFill>
          </w14:textFill>
        </w:rPr>
      </w:pPr>
      <w:r>
        <w:rPr>
          <w:rStyle w:val="None"/>
          <w:rFonts w:ascii="Arial Unicode MS" w:hAnsi="Arial Unicode MS"/>
          <w:outline w:val="0"/>
          <w:color w:val="64958f"/>
          <w:sz w:val="30"/>
          <w:szCs w:val="30"/>
          <w:u w:color="64958f"/>
          <w:rtl w:val="0"/>
          <w:lang w:val="en-US"/>
          <w14:textFill>
            <w14:solidFill>
              <w14:srgbClr w14:val="64958F"/>
            </w14:solidFill>
          </w14:textFill>
        </w:rPr>
        <w:t>3. PROCEDURE FOR REPORTING ALLEGATIONS OR SUSPICIONS OF ABUSE</w:t>
      </w:r>
    </w:p>
    <w:p>
      <w:pPr>
        <w:pStyle w:val="Body A"/>
        <w:rPr>
          <w:rStyle w:val="None"/>
          <w:b w:val="1"/>
          <w:bCs w:val="1"/>
          <w:outline w:val="0"/>
          <w:color w:val="64958f"/>
          <w:sz w:val="30"/>
          <w:szCs w:val="30"/>
          <w:u w:color="64958f"/>
          <w14:textFill>
            <w14:solidFill>
              <w14:srgbClr w14:val="64958F"/>
            </w14:solidFill>
          </w14:textFill>
        </w:rPr>
      </w:pPr>
    </w:p>
    <w:p>
      <w:pPr>
        <w:pStyle w:val="Body A"/>
        <w:numPr>
          <w:ilvl w:val="0"/>
          <w:numId w:val="5"/>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GENERAL</w:t>
      </w:r>
      <w:r>
        <w:rPr>
          <w:rStyle w:val="None"/>
          <w:rFonts w:ascii="Arial Unicode MS" w:cs="Arial Unicode MS" w:hAnsi="Arial Unicode MS" w:eastAsia="Arial Unicode MS"/>
          <w:outline w:val="0"/>
          <w:color w:val="64958f"/>
          <w:sz w:val="26"/>
          <w:szCs w:val="26"/>
          <w:u w:color="64958f"/>
          <w14:textFill>
            <w14:solidFill>
              <w14:srgbClr w14:val="64958F"/>
            </w14:solidFill>
          </w14:textFill>
        </w:rPr>
        <w:br w:type="textWrapping"/>
        <w:br w:type="textWrapping"/>
      </w:r>
      <w:r>
        <w:rPr>
          <w:rStyle w:val="None"/>
          <w:rFonts w:ascii="Arial Unicode MS" w:hAnsi="Arial Unicode MS"/>
          <w:sz w:val="22"/>
          <w:szCs w:val="22"/>
          <w:rtl w:val="0"/>
          <w:lang w:val="en-US"/>
        </w:rPr>
        <w:t>All action is taken in line with the following legislation/guidance:</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Newcastle Safeguarding Adults Board </w:t>
      </w:r>
      <w:r>
        <w:rPr>
          <w:rStyle w:val="Hyperlink.2"/>
          <w:rFonts w:ascii="Arial Unicode MS" w:cs="Arial Unicode MS" w:hAnsi="Arial Unicode MS" w:eastAsia="Arial Unicode MS"/>
          <w:sz w:val="22"/>
          <w:szCs w:val="22"/>
          <w:u w:val="single"/>
        </w:rPr>
        <w:fldChar w:fldCharType="begin" w:fldLock="0"/>
      </w:r>
      <w:r>
        <w:rPr>
          <w:rStyle w:val="Hyperlink.2"/>
          <w:rFonts w:ascii="Arial Unicode MS" w:cs="Arial Unicode MS" w:hAnsi="Arial Unicode MS" w:eastAsia="Arial Unicode MS"/>
          <w:sz w:val="22"/>
          <w:szCs w:val="22"/>
          <w:u w:val="single"/>
        </w:rPr>
        <w:instrText xml:space="preserve"> HYPERLINK "https://www.newcastle.gov.uk/social-care-and-health/safeguarding-and-abuse/safeguarding-information-professionals/newcastle-safeguarding-adults-board"</w:instrText>
      </w:r>
      <w:r>
        <w:rPr>
          <w:rStyle w:val="Hyperlink.2"/>
          <w:rFonts w:ascii="Arial Unicode MS" w:cs="Arial Unicode MS" w:hAnsi="Arial Unicode MS" w:eastAsia="Arial Unicode MS"/>
          <w:sz w:val="22"/>
          <w:szCs w:val="22"/>
          <w:u w:val="single"/>
        </w:rPr>
        <w:fldChar w:fldCharType="separate" w:fldLock="0"/>
      </w:r>
      <w:r>
        <w:rPr>
          <w:rStyle w:val="Hyperlink.2"/>
          <w:rFonts w:ascii="Arial Unicode MS" w:hAnsi="Arial Unicode MS"/>
          <w:sz w:val="22"/>
          <w:szCs w:val="22"/>
          <w:u w:val="single"/>
          <w:rtl w:val="0"/>
          <w:lang w:val="en-US"/>
        </w:rPr>
        <w:t>https://www.newcastle.gov.uk/social-care-and-health/safeguarding-and-abuse/safeguarding-information-professionals/newcastle-safeguarding-adults-board</w:t>
      </w:r>
      <w:r>
        <w:rPr>
          <w:sz w:val="26"/>
          <w:szCs w:val="26"/>
        </w:rPr>
        <w:fldChar w:fldCharType="end" w:fldLock="0"/>
      </w:r>
      <w:r>
        <w:rPr>
          <w:rStyle w:val="None"/>
          <w:rFonts w:ascii="Arial Unicode MS" w:hAnsi="Arial Unicode MS"/>
          <w:sz w:val="22"/>
          <w:szCs w:val="22"/>
          <w:rtl w:val="0"/>
          <w:lang w:val="en-US"/>
        </w:rPr>
        <w:t xml:space="preserve">  </w:t>
        <w:br w:type="textWrapping"/>
      </w:r>
      <w:r>
        <w:rPr>
          <w:rStyle w:val="None"/>
          <w:rFonts w:ascii="Arial Unicode MS" w:hAnsi="Arial Unicode MS"/>
          <w:sz w:val="22"/>
          <w:szCs w:val="22"/>
          <w:rtl w:val="0"/>
          <w:lang w:val="en-US"/>
        </w:rPr>
        <w:t>- Care Act, 2014 government guidance</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In any case where an allegation is made, or someone in Moving Parts has concerns, a record should be made. The required forms are available from the Moving Parts office at the John Marley Centre, studio 106. In the case that a form cannot be obtained, please record all information on a sheet of paper and kept confidential until passed onto the Safeguarding Leads or Newcastle Community Health and Social Care Direct Team.</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ATTITUDE WHEN DEALING WITH A VULNERABLE ADULT DISCLOSING AN INCIDENT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If a vulnerable adult has the capacity to give consent, then confidentiality must be adhered to unless they grant you to disclose information. This is an important distinction between our Child Protection and Vulnerable Adult policies. However, if the vulnerable adult is in potential danger or risk of harm then this confidentiality can be overridden on a need-to-know basis. Ultimately it is our responsibility to put the interests and safety of vulnerable adults first.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Listen to them and avoid leading quesions.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Offer them reassurance without making promises, and take what they say seriously.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Allow them to speak without interruption.</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Accept what is said - it is not your role to investigate or question.</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Do not overreact.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Alleviate feelings of guilt and isolation, while passing no judgement.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Advise that you will try to offer support, but that you must pass the information on if they are at risk.</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Explain what you have to do and whom you have to tell.</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Record the discussion accurately, as soon as possible after the event.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Use their words or explanation - do not translate into your own words, in case you have misconstrued what they were trying to say.</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Contact one of the Safeguarding Leads for advice / guidance, unless it is inappropriate to approach them, i.e. they are involved in the abuse allegation.</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Record any discussions or actions taken within 24 hours.</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DETAILS TO BE RECORDED</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A record should be taken with as much appropriate information as possible when documenting/referring an allegation or suspicion of abuse; however the absence of information must not delay referral.</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Name of the person completing the form and their role</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Date that the form is being filled in</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The name, date of birth, gender and address of the child at risk</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Parents/guardians/carers name, address and contact number</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If the parents/guardians/carers have been notified of the incident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Whether you are reporting your own concerns or responding to concerns raised by someone else. If the latter, more details are requested.</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 description of the incident, including date, time and location</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Details of any previous concerns, incidents or relevant safeguarding records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Outcome of the incident ie. has it been reported to the Safeguarding Leads?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Any further information that may be useful to consider / relevant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This form can be found here: </w:t>
      </w:r>
      <w:r>
        <w:rPr>
          <w:rStyle w:val="Hyperlink.0"/>
          <w:sz w:val="26"/>
          <w:szCs w:val="26"/>
        </w:rPr>
        <w:fldChar w:fldCharType="begin" w:fldLock="0"/>
      </w:r>
      <w:r>
        <w:rPr>
          <w:rStyle w:val="Hyperlink.0"/>
          <w:sz w:val="26"/>
          <w:szCs w:val="26"/>
        </w:rPr>
        <w:instrText xml:space="preserve"> HYPERLINK "https://docs.google.com/forms/d/e/1FAIpQLSepz54p5me9oZAx9f1PpzD_Mf-1oeD0FSrSKldJ4B7AwuqiaQ/viewform?usp=pp_url"</w:instrText>
      </w:r>
      <w:r>
        <w:rPr>
          <w:rStyle w:val="Hyperlink.0"/>
          <w:sz w:val="26"/>
          <w:szCs w:val="26"/>
        </w:rPr>
        <w:fldChar w:fldCharType="separate" w:fldLock="0"/>
      </w:r>
      <w:r>
        <w:rPr>
          <w:rStyle w:val="Hyperlink.0"/>
          <w:sz w:val="26"/>
          <w:szCs w:val="26"/>
          <w:rtl w:val="0"/>
          <w:lang w:val="en-US"/>
        </w:rPr>
        <w:t>https://docs.google.com/forms/d/e/1FAIpQLSepz54p5me9oZAx9f1PpzD_Mf-1oeD0FSrSKldJ4B7AwuqiaQ/viewform?usp=pp_url</w:t>
      </w:r>
      <w:r>
        <w:rPr>
          <w:sz w:val="26"/>
          <w:szCs w:val="26"/>
        </w:rPr>
        <w:fldChar w:fldCharType="end" w:fldLock="0"/>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 xml:space="preserve">MAKING A REFERRAL </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Pass on the information acquired in sections 3(c) to the Safeguarding Leads, or if the allegation concerns them, direct to the appropriate local safeguarding board. These details can be found below.</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NEWCASTLE UPON TYNE ADULT SAFEGUARDING BOARD</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Initial response service: 0191 278 8377 (8am - 5pm)</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Emergency response service: (out of hours): 0191 278 7878</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GATESHEAD ADULT SAFEGUARDING BOARD</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24/7: 0191 433 7033</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NORTH TYNESIDE ADULT SAFEGUARDING BOARD</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Office hours: 0191 643 2777</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Evenings and weekends: 0330 333 745</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SOUTH TYNESIDE ADULT SAFEGUARDING BOARD</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Office hours: 0191 424 6000</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Evenings and weekends: 0191 456 2093</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NORTHUMBERLAND ADULT SAFEGUARDING BOARD</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24/7: 01670 536 400</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SUNDERLAND ADULT SAFEGUARDING BOARD</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Office hours: 0191 561 8934</w:t>
      </w:r>
      <w:r>
        <w:rPr>
          <w:rStyle w:val="None"/>
          <w:rFonts w:ascii="Arial Unicode MS" w:cs="Arial Unicode MS" w:hAnsi="Arial Unicode MS" w:eastAsia="Arial Unicode MS"/>
          <w:sz w:val="22"/>
          <w:szCs w:val="22"/>
        </w:rPr>
        <w:br w:type="textWrapping"/>
      </w:r>
      <w:r>
        <w:rPr>
          <w:rStyle w:val="None"/>
          <w:rFonts w:ascii="Arial Unicode MS" w:hAnsi="Arial Unicode MS"/>
          <w:sz w:val="22"/>
          <w:szCs w:val="22"/>
          <w:rtl w:val="0"/>
          <w:lang w:val="en-US"/>
        </w:rPr>
        <w:t>Evenings and weekends: 0191 520 5552</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Confidentiality must be maintained and information relating to individuals shared with staff on a strictly need-to-know basis.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Referrers will be asked specifically if they hold any information about difficulties being experienced by the household due to domestic abuse, mental illness, substance misuse, and/or learning difficulties.</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The referrer must alert any professionals already involved with the vulnerable adult, if known.</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The telephone call should be followed up in writing within 48 hours (including email). The Safeguarding team where the referral was reported must follow up the incident within 48 hours also.</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xml:space="preserve">- Referrers should receive a response from the Safeguarding Board within one working day of the referral being made. If not received within three working days, the referrer should contact the team again. </w:t>
      </w:r>
      <w:r>
        <w:rPr>
          <w:rStyle w:val="None"/>
          <w:rFonts w:ascii="Arial Unicode MS" w:cs="Arial Unicode MS" w:hAnsi="Arial Unicode MS" w:eastAsia="Arial Unicode MS"/>
          <w:sz w:val="22"/>
          <w:szCs w:val="22"/>
        </w:rPr>
        <w:br w:type="textWrapping"/>
      </w:r>
    </w:p>
    <w:p>
      <w:pPr>
        <w:pStyle w:val="Body A"/>
        <w:numPr>
          <w:ilvl w:val="0"/>
          <w:numId w:val="4"/>
        </w:numPr>
        <w:bidi w:val="0"/>
        <w:ind w:right="0"/>
        <w:jc w:val="left"/>
        <w:rPr>
          <w:rFonts w:ascii="Futura" w:hAnsi="Futura"/>
          <w:sz w:val="26"/>
          <w:szCs w:val="26"/>
          <w:rtl w:val="0"/>
          <w:lang w:val="en-US"/>
        </w:rPr>
      </w:pPr>
      <w:r>
        <w:rPr>
          <w:rStyle w:val="None"/>
          <w:rFonts w:ascii="Arial Unicode MS" w:hAnsi="Arial Unicode MS"/>
          <w:outline w:val="0"/>
          <w:color w:val="64958f"/>
          <w:sz w:val="26"/>
          <w:szCs w:val="26"/>
          <w:u w:color="64958f"/>
          <w:rtl w:val="0"/>
          <w:lang w:val="en-US"/>
          <w14:textFill>
            <w14:solidFill>
              <w14:srgbClr w14:val="64958F"/>
            </w14:solidFill>
          </w14:textFill>
        </w:rPr>
        <w:t>IF YOU WITNESS AN ACT OF ABUSE DIRECTLY</w:t>
      </w:r>
      <w:r>
        <w:rPr>
          <w:rStyle w:val="None"/>
          <w:rFonts w:ascii="Arial Unicode MS" w:cs="Arial Unicode MS" w:hAnsi="Arial Unicode MS" w:eastAsia="Arial Unicode MS"/>
          <w:sz w:val="22"/>
          <w:szCs w:val="22"/>
        </w:rPr>
        <w:br w:type="textWrapping"/>
        <w:br w:type="textWrapping"/>
      </w:r>
      <w:r>
        <w:rPr>
          <w:rStyle w:val="None"/>
          <w:rFonts w:ascii="Futura" w:hAnsi="Futura"/>
          <w:outline w:val="0"/>
          <w:color w:val="ffffff"/>
          <w:sz w:val="22"/>
          <w:szCs w:val="22"/>
          <w:u w:color="ffffff"/>
          <w:shd w:val="clear" w:color="auto" w:fill="000000"/>
          <w:rtl w:val="0"/>
          <w:lang w:val="en-US"/>
          <w14:textFill>
            <w14:solidFill>
              <w14:srgbClr w14:val="FFFFFF"/>
            </w14:solidFill>
          </w14:textFill>
        </w:rPr>
        <w:t xml:space="preserve">- If a crime has been witnessed or someone is in immediate danger the police should be contacted immediately by calling </w:t>
      </w:r>
      <w:r>
        <w:rPr>
          <w:rStyle w:val="None"/>
          <w:rFonts w:ascii="Futura Bold" w:hAnsi="Futura Bold"/>
          <w:outline w:val="0"/>
          <w:color w:val="ffffff"/>
          <w:sz w:val="22"/>
          <w:szCs w:val="22"/>
          <w:u w:color="ffffff"/>
          <w:shd w:val="clear" w:color="auto" w:fill="000000"/>
          <w:rtl w:val="0"/>
          <w:lang w:val="en-US"/>
          <w14:textFill>
            <w14:solidFill>
              <w14:srgbClr w14:val="FFFFFF"/>
            </w14:solidFill>
          </w14:textFill>
        </w:rPr>
        <w:t>911</w:t>
      </w:r>
      <w:r>
        <w:rPr>
          <w:rStyle w:val="None"/>
          <w:rFonts w:ascii="Futura" w:hAnsi="Futura"/>
          <w:outline w:val="0"/>
          <w:color w:val="ffffff"/>
          <w:sz w:val="22"/>
          <w:szCs w:val="22"/>
          <w:u w:color="ffffff"/>
          <w:shd w:val="clear" w:color="auto" w:fill="000000"/>
          <w:rtl w:val="0"/>
          <w:lang w:val="en-US"/>
          <w14:textFill>
            <w14:solidFill>
              <w14:srgbClr w14:val="FFFFFF"/>
            </w14:solidFill>
          </w14:textFill>
        </w:rPr>
        <w:t>.</w:t>
      </w:r>
      <w:r>
        <w:rPr>
          <w:rStyle w:val="None"/>
          <w:rFonts w:ascii="Arial Unicode MS" w:cs="Arial Unicode MS" w:hAnsi="Arial Unicode MS" w:eastAsia="Arial Unicode MS"/>
          <w:sz w:val="22"/>
          <w:szCs w:val="22"/>
        </w:rPr>
        <w:br w:type="textWrapping"/>
        <w:br w:type="textWrapping"/>
      </w:r>
      <w:r>
        <w:rPr>
          <w:rStyle w:val="None"/>
          <w:rFonts w:ascii="Arial Unicode MS" w:hAnsi="Arial Unicode MS"/>
          <w:sz w:val="22"/>
          <w:szCs w:val="22"/>
          <w:rtl w:val="0"/>
          <w:lang w:val="en-US"/>
        </w:rPr>
        <w:t>- If safe to do so, then contact the Safeguarding Leads who will advise on the next steps.</w:t>
      </w:r>
    </w:p>
    <w:sectPr>
      <w:headerReference w:type="default" r:id="rId5"/>
      <w:footerReference w:type="default" r:id="rId6"/>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 w:name="Futura">
    <w:charset w:val="00"/>
    <w:family w:val="roman"/>
    <w:pitch w:val="default"/>
  </w:font>
  <w:font w:name="ReadexPro-bold">
    <w:charset w:val="00"/>
    <w:family w:val="roman"/>
    <w:pitch w:val="default"/>
  </w:font>
  <w:font w:name="Readex Pro Medium">
    <w:charset w:val="00"/>
    <w:family w:val="roman"/>
    <w:pitch w:val="default"/>
  </w:font>
  <w:font w:name="Futura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A"/>
      <w:tabs>
        <w:tab w:val="center" w:pos="4819"/>
        <w:tab w:val="right" w:pos="9612"/>
        <w:tab w:val="clear" w:pos="9020"/>
      </w:tabs>
    </w:pPr>
    <w:r>
      <w:rPr>
        <w:rFonts w:ascii="Futura" w:hAnsi="Futura"/>
      </w:rPr>
      <w:fldChar w:fldCharType="begin" w:fldLock="0"/>
    </w:r>
    <w:r>
      <w:rPr>
        <w:rFonts w:ascii="Futura" w:hAnsi="Futura"/>
      </w:rPr>
      <w:instrText xml:space="preserve"> PAGE </w:instrText>
    </w:r>
    <w:r>
      <w:rPr>
        <w:rFonts w:ascii="Futura" w:hAnsi="Futura"/>
      </w:rPr>
      <w:fldChar w:fldCharType="separate" w:fldLock="0"/>
    </w:r>
    <w:r>
      <w:rPr>
        <w:rFonts w:ascii="Futura" w:hAnsi="Futura"/>
      </w:rPr>
    </w:r>
    <w:r>
      <w:rPr>
        <w:rFonts w:ascii="Futura" w:hAnsi="Futura"/>
      </w:rPr>
      <w:fldChar w:fldCharType="end" w:fldLock="0"/>
    </w:r>
    <w:r>
      <w:rPr>
        <w:rFonts w:ascii="Futura" w:hAnsi="Futura"/>
      </w:rPr>
      <w:tab/>
    </w:r>
    <w:r>
      <w:rPr>
        <w:rFonts w:ascii="Arial Unicode MS" w:hAnsi="Arial Unicode MS"/>
        <w:rtl w:val="0"/>
        <w:lang w:val="en-US"/>
      </w:rPr>
      <w:t>Updated: 4th March 202</w:t>
    </w:r>
    <w:r>
      <w:rPr>
        <w:rFonts w:ascii="Arial Unicode MS" w:hAnsi="Arial Unicode MS"/>
        <w:rtl w:val="0"/>
        <w:lang w:val="en-US"/>
      </w:rPr>
      <w:t>6</w:t>
    </w:r>
    <w:r>
      <w:rPr>
        <w:rFonts w:ascii="Arial Unicode MS" w:hAnsi="Arial Unicode MS"/>
        <w:rtl w:val="0"/>
        <w:lang w:val="en-US"/>
      </w:rPr>
      <w:t xml:space="preserve"> Review date: 4th March 202</w:t>
    </w:r>
    <w:r>
      <w:rPr>
        <w:rFonts w:ascii="Arial Unicode MS" w:hAnsi="Arial Unicode MS"/>
        <w:rtl w:val="0"/>
        <w:lang w:val="en-US"/>
      </w:rPr>
      <w:t>7</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18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1">
      <w:start w:val="1"/>
      <w:numFmt w:val="bullet"/>
      <w:suff w:val="tab"/>
      <w:lvlText w:val="•"/>
      <w:lvlJc w:val="left"/>
      <w:pPr>
        <w:ind w:left="36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2">
      <w:start w:val="1"/>
      <w:numFmt w:val="bullet"/>
      <w:suff w:val="tab"/>
      <w:lvlText w:val="•"/>
      <w:lvlJc w:val="left"/>
      <w:pPr>
        <w:ind w:left="54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3">
      <w:start w:val="1"/>
      <w:numFmt w:val="bullet"/>
      <w:suff w:val="tab"/>
      <w:lvlText w:val="•"/>
      <w:lvlJc w:val="left"/>
      <w:pPr>
        <w:ind w:left="72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4">
      <w:start w:val="1"/>
      <w:numFmt w:val="bullet"/>
      <w:suff w:val="tab"/>
      <w:lvlText w:val="•"/>
      <w:lvlJc w:val="left"/>
      <w:pPr>
        <w:ind w:left="90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5">
      <w:start w:val="1"/>
      <w:numFmt w:val="bullet"/>
      <w:suff w:val="tab"/>
      <w:lvlText w:val="•"/>
      <w:lvlJc w:val="left"/>
      <w:pPr>
        <w:ind w:left="108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6">
      <w:start w:val="1"/>
      <w:numFmt w:val="bullet"/>
      <w:suff w:val="tab"/>
      <w:lvlText w:val="•"/>
      <w:lvlJc w:val="left"/>
      <w:pPr>
        <w:ind w:left="126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7">
      <w:start w:val="1"/>
      <w:numFmt w:val="bullet"/>
      <w:suff w:val="tab"/>
      <w:lvlText w:val="•"/>
      <w:lvlJc w:val="left"/>
      <w:pPr>
        <w:ind w:left="144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lvl w:ilvl="8">
      <w:start w:val="1"/>
      <w:numFmt w:val="bullet"/>
      <w:suff w:val="tab"/>
      <w:lvlText w:val="•"/>
      <w:lvlJc w:val="left"/>
      <w:pPr>
        <w:ind w:left="1620" w:hanging="180"/>
      </w:pPr>
      <w:rPr>
        <w:rFonts w:ascii="Futura" w:cs="Futura" w:hAnsi="Futura" w:eastAsia="Futura"/>
        <w:b w:val="0"/>
        <w:bCs w:val="0"/>
        <w:i w:val="0"/>
        <w:iCs w:val="0"/>
        <w:caps w:val="0"/>
        <w:smallCaps w:val="0"/>
        <w:strike w:val="0"/>
        <w:dstrike w:val="0"/>
        <w:outline w:val="0"/>
        <w:emboss w:val="0"/>
        <w:imprint w:val="0"/>
        <w:color w:val="64958f"/>
        <w:spacing w:val="0"/>
        <w:w w:val="100"/>
        <w:kern w:val="0"/>
        <w:position w:val="0"/>
        <w:highlight w:val="none"/>
        <w:vertAlign w:val="baseline"/>
      </w:rPr>
    </w:lvl>
  </w:abstractNum>
  <w:abstractNum w:abstractNumId="2">
    <w:multiLevelType w:val="hybridMultilevel"/>
    <w:numStyleLink w:val="Lettered"/>
  </w:abstractNum>
  <w:abstractNum w:abstractNumId="3">
    <w:multiLevelType w:val="hybridMultilevel"/>
    <w:styleLink w:val="Lettered"/>
    <w:lvl w:ilvl="0">
      <w:start w:val="1"/>
      <w:numFmt w:val="lowerLetter"/>
      <w:suff w:val="tab"/>
      <w:lvlText w:val="%1)"/>
      <w:lvlJc w:val="left"/>
      <w:pPr>
        <w:ind w:left="36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1">
      <w:start w:val="1"/>
      <w:numFmt w:val="lowerLetter"/>
      <w:suff w:val="tab"/>
      <w:lvlText w:val="%2)"/>
      <w:lvlJc w:val="left"/>
      <w:pPr>
        <w:ind w:left="72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2">
      <w:start w:val="1"/>
      <w:numFmt w:val="lowerLetter"/>
      <w:suff w:val="tab"/>
      <w:lvlText w:val="%3)"/>
      <w:lvlJc w:val="left"/>
      <w:pPr>
        <w:ind w:left="108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3">
      <w:start w:val="1"/>
      <w:numFmt w:val="lowerLetter"/>
      <w:suff w:val="tab"/>
      <w:lvlText w:val="%4)"/>
      <w:lvlJc w:val="left"/>
      <w:pPr>
        <w:ind w:left="144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4">
      <w:start w:val="1"/>
      <w:numFmt w:val="lowerLetter"/>
      <w:suff w:val="tab"/>
      <w:lvlText w:val="%5)"/>
      <w:lvlJc w:val="left"/>
      <w:pPr>
        <w:ind w:left="180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5">
      <w:start w:val="1"/>
      <w:numFmt w:val="lowerLetter"/>
      <w:suff w:val="tab"/>
      <w:lvlText w:val="%6)"/>
      <w:lvlJc w:val="left"/>
      <w:pPr>
        <w:ind w:left="216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6">
      <w:start w:val="1"/>
      <w:numFmt w:val="lowerLetter"/>
      <w:suff w:val="tab"/>
      <w:lvlText w:val="%7)"/>
      <w:lvlJc w:val="left"/>
      <w:pPr>
        <w:ind w:left="252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7">
      <w:start w:val="1"/>
      <w:numFmt w:val="lowerLetter"/>
      <w:suff w:val="tab"/>
      <w:lvlText w:val="%8)"/>
      <w:lvlJc w:val="left"/>
      <w:pPr>
        <w:ind w:left="288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lvl w:ilvl="8">
      <w:start w:val="1"/>
      <w:numFmt w:val="lowerLetter"/>
      <w:suff w:val="tab"/>
      <w:lvlText w:val="%9)"/>
      <w:lvlJc w:val="left"/>
      <w:pPr>
        <w:ind w:left="3240" w:hanging="360"/>
      </w:pPr>
      <w:rPr>
        <w:rFonts w:hAnsi="Arial Unicode MS"/>
        <w:caps w:val="0"/>
        <w:smallCaps w:val="0"/>
        <w:strike w:val="0"/>
        <w:dstrike w:val="0"/>
        <w:outline w:val="0"/>
        <w:emboss w:val="0"/>
        <w:imprint w:val="0"/>
        <w:color w:val="64958f"/>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er &amp; Footer A">
    <w:name w:val="Header &amp; Footer A"/>
    <w:next w:val="Header &amp; Footer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style>
  <w:style w:type="character" w:styleId="None">
    <w:name w:val="None"/>
  </w:style>
  <w:style w:type="character" w:styleId="Hyperlink.0">
    <w:name w:val="Hyperlink.0"/>
    <w:basedOn w:val="None"/>
    <w:next w:val="Hyperlink.0"/>
    <w:rPr>
      <w:rFonts w:ascii="Arial Unicode MS" w:cs="Arial Unicode MS" w:hAnsi="Arial Unicode MS" w:eastAsia="Arial Unicode MS"/>
      <w:outline w:val="0"/>
      <w:color w:val="0000ff"/>
      <w:u w:val="single" w:color="0000ff"/>
      <w14:textFill>
        <w14:solidFill>
          <w14:srgbClr w14:val="0000FF"/>
        </w14:solidFill>
      </w14:textFill>
    </w:rPr>
  </w:style>
  <w:style w:type="character" w:styleId="Hyperlink.1">
    <w:name w:val="Hyperlink.1"/>
    <w:basedOn w:val="Hyperlink"/>
    <w:next w:val="Hyperlink.1"/>
    <w:rPr>
      <w:outline w:val="0"/>
      <w:color w:val="0000ff"/>
      <w:u w:val="single" w:color="0000ff"/>
      <w14:textFill>
        <w14:solidFill>
          <w14:srgbClr w14:val="0000FF"/>
        </w14:solidFill>
      </w14:textFill>
    </w:rPr>
  </w:style>
  <w:style w:type="numbering" w:styleId="Bullet">
    <w:name w:val="Bullet"/>
    <w:pPr>
      <w:numPr>
        <w:numId w:val="1"/>
      </w:numPr>
    </w:pPr>
  </w:style>
  <w:style w:type="numbering" w:styleId="Lettered">
    <w:name w:val="Lettered"/>
    <w:pPr>
      <w:numPr>
        <w:numId w:val="3"/>
      </w:numPr>
    </w:pPr>
  </w:style>
  <w:style w:type="character" w:styleId="Hyperlink.2">
    <w:name w:val="Hyperlink.2"/>
    <w:basedOn w:val="None"/>
    <w:next w:val="Hyperlink.2"/>
    <w:rPr>
      <w:rFonts w:ascii="Arial Unicode MS" w:cs="Arial Unicode MS" w:hAnsi="Arial Unicode MS" w:eastAsia="Arial Unicode MS"/>
      <w:sz w:val="22"/>
      <w:szCs w:val="22"/>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